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E6D" w:rsidRDefault="00792E6D" w:rsidP="00792E6D">
      <w:pPr>
        <w:jc w:val="center"/>
        <w:rPr>
          <w:rFonts w:ascii="Times New Roman" w:hAnsi="Times New Roman" w:cs="Times New Roman"/>
          <w:u w:val="single"/>
        </w:rPr>
      </w:pPr>
      <w:bookmarkStart w:id="0" w:name="_GoBack"/>
      <w:bookmarkEnd w:id="0"/>
      <w:r>
        <w:rPr>
          <w:rFonts w:ascii="Times New Roman" w:hAnsi="Times New Roman" w:cs="Times New Roman"/>
          <w:u w:val="single"/>
        </w:rPr>
        <w:t>Body modification and consent: prejudice in the higher courts?</w:t>
      </w:r>
    </w:p>
    <w:p w:rsidR="00792E6D" w:rsidRDefault="00792E6D" w:rsidP="00792E6D">
      <w:pPr>
        <w:jc w:val="center"/>
        <w:rPr>
          <w:rFonts w:ascii="Times New Roman" w:hAnsi="Times New Roman" w:cs="Times New Roman"/>
          <w:u w:val="single"/>
        </w:rPr>
      </w:pPr>
    </w:p>
    <w:p w:rsidR="00792E6D" w:rsidRDefault="00792E6D" w:rsidP="00792E6D">
      <w:pPr>
        <w:rPr>
          <w:rFonts w:ascii="Times New Roman" w:hAnsi="Times New Roman" w:cs="Times New Roman"/>
          <w:u w:val="single"/>
        </w:rPr>
      </w:pPr>
      <w:r>
        <w:rPr>
          <w:rFonts w:ascii="Times New Roman" w:hAnsi="Times New Roman" w:cs="Times New Roman"/>
          <w:u w:val="single"/>
        </w:rPr>
        <w:t xml:space="preserve">Alexander Pritchard-Jones </w:t>
      </w:r>
    </w:p>
    <w:p w:rsidR="00792E6D" w:rsidRDefault="00792E6D" w:rsidP="00792E6D">
      <w:pPr>
        <w:rPr>
          <w:rFonts w:ascii="Times New Roman" w:hAnsi="Times New Roman" w:cs="Times New Roman"/>
          <w:u w:val="single"/>
        </w:rPr>
      </w:pPr>
    </w:p>
    <w:p w:rsidR="00792E6D" w:rsidRPr="005F42A6" w:rsidRDefault="00792E6D" w:rsidP="005F42A6">
      <w:pPr>
        <w:pStyle w:val="ListParagraph"/>
        <w:numPr>
          <w:ilvl w:val="0"/>
          <w:numId w:val="1"/>
        </w:numPr>
        <w:rPr>
          <w:rFonts w:ascii="Times New Roman" w:hAnsi="Times New Roman" w:cs="Times New Roman"/>
        </w:rPr>
      </w:pPr>
      <w:r w:rsidRPr="005F42A6">
        <w:rPr>
          <w:rFonts w:ascii="Times New Roman" w:hAnsi="Times New Roman" w:cs="Times New Roman"/>
        </w:rPr>
        <w:t>PhD candidate, History, College of Arts and Law, University of Birmingham</w:t>
      </w:r>
    </w:p>
    <w:p w:rsidR="00792E6D" w:rsidRPr="005F42A6" w:rsidRDefault="00792E6D" w:rsidP="00792E6D">
      <w:pPr>
        <w:rPr>
          <w:rFonts w:ascii="Times New Roman" w:hAnsi="Times New Roman" w:cs="Times New Roman"/>
        </w:rPr>
      </w:pPr>
    </w:p>
    <w:p w:rsidR="00792E6D" w:rsidRPr="005F42A6" w:rsidRDefault="00A442A5" w:rsidP="005F42A6">
      <w:pPr>
        <w:pStyle w:val="ListParagraph"/>
        <w:numPr>
          <w:ilvl w:val="0"/>
          <w:numId w:val="1"/>
        </w:numPr>
        <w:rPr>
          <w:rFonts w:ascii="Times New Roman" w:hAnsi="Times New Roman" w:cs="Times New Roman"/>
        </w:rPr>
      </w:pPr>
      <w:hyperlink r:id="rId5" w:history="1">
        <w:r w:rsidR="005F42A6" w:rsidRPr="005F42A6">
          <w:rPr>
            <w:rStyle w:val="Hyperlink"/>
            <w:rFonts w:ascii="Times New Roman" w:hAnsi="Times New Roman" w:cs="Times New Roman"/>
            <w:u w:val="none"/>
          </w:rPr>
          <w:t>avp807@student.bham.ac.uk</w:t>
        </w:r>
      </w:hyperlink>
    </w:p>
    <w:p w:rsidR="005F42A6" w:rsidRPr="005F42A6" w:rsidRDefault="005F42A6" w:rsidP="00792E6D">
      <w:pPr>
        <w:rPr>
          <w:rFonts w:ascii="Times New Roman" w:hAnsi="Times New Roman" w:cs="Times New Roman"/>
        </w:rPr>
      </w:pPr>
    </w:p>
    <w:p w:rsidR="005F42A6" w:rsidRPr="005F42A6" w:rsidRDefault="005F42A6" w:rsidP="005F42A6">
      <w:pPr>
        <w:pStyle w:val="ListParagraph"/>
        <w:numPr>
          <w:ilvl w:val="0"/>
          <w:numId w:val="1"/>
        </w:numPr>
        <w:rPr>
          <w:rFonts w:ascii="Times New Roman" w:hAnsi="Times New Roman" w:cs="Times New Roman"/>
        </w:rPr>
      </w:pPr>
      <w:r w:rsidRPr="005F42A6">
        <w:rPr>
          <w:rFonts w:ascii="Times New Roman" w:hAnsi="Times New Roman" w:cs="Times New Roman"/>
        </w:rPr>
        <w:t>07713259315</w:t>
      </w:r>
    </w:p>
    <w:p w:rsidR="005F42A6" w:rsidRDefault="005F42A6" w:rsidP="00792E6D">
      <w:pPr>
        <w:rPr>
          <w:rFonts w:ascii="Times New Roman" w:hAnsi="Times New Roman" w:cs="Times New Roman"/>
          <w:u w:val="single"/>
        </w:rPr>
      </w:pPr>
    </w:p>
    <w:p w:rsidR="005F42A6" w:rsidRDefault="005F42A6" w:rsidP="00792E6D">
      <w:pPr>
        <w:rPr>
          <w:rFonts w:ascii="Times New Roman" w:hAnsi="Times New Roman" w:cs="Times New Roman"/>
          <w:u w:val="single"/>
        </w:rPr>
      </w:pPr>
      <w:r>
        <w:rPr>
          <w:rFonts w:ascii="Times New Roman" w:hAnsi="Times New Roman" w:cs="Times New Roman"/>
          <w:u w:val="single"/>
        </w:rPr>
        <w:t>Biography</w:t>
      </w:r>
    </w:p>
    <w:p w:rsidR="005F42A6" w:rsidRDefault="005F42A6" w:rsidP="00792E6D">
      <w:pPr>
        <w:rPr>
          <w:rFonts w:ascii="Times New Roman" w:hAnsi="Times New Roman" w:cs="Times New Roman"/>
          <w:u w:val="single"/>
        </w:rPr>
      </w:pPr>
    </w:p>
    <w:p w:rsidR="005F42A6" w:rsidRDefault="005F42A6" w:rsidP="005F42A6">
      <w:pPr>
        <w:jc w:val="both"/>
        <w:rPr>
          <w:rFonts w:ascii="Times New Roman" w:hAnsi="Times New Roman" w:cs="Times New Roman"/>
        </w:rPr>
      </w:pPr>
      <w:r>
        <w:rPr>
          <w:rFonts w:ascii="Times New Roman" w:hAnsi="Times New Roman" w:cs="Times New Roman"/>
        </w:rPr>
        <w:t xml:space="preserve">I am a part time PhD student in College of Arts and Law and a full time barrister practising in criminal and civil law. My undergraduate degree was in History and Politics from the University of Newcastle, and I have a Master of Studies in Modern British and European History from St Hugh’s College, Oxford University. </w:t>
      </w:r>
    </w:p>
    <w:p w:rsidR="005A4ABA" w:rsidRDefault="005A4ABA" w:rsidP="005F42A6">
      <w:pPr>
        <w:jc w:val="both"/>
        <w:rPr>
          <w:rFonts w:ascii="Times New Roman" w:hAnsi="Times New Roman" w:cs="Times New Roman"/>
        </w:rPr>
      </w:pPr>
    </w:p>
    <w:p w:rsidR="005A4ABA" w:rsidRDefault="005A4ABA" w:rsidP="005F42A6">
      <w:pPr>
        <w:jc w:val="both"/>
        <w:rPr>
          <w:rFonts w:ascii="Times New Roman" w:hAnsi="Times New Roman" w:cs="Times New Roman"/>
        </w:rPr>
      </w:pPr>
      <w:r>
        <w:rPr>
          <w:rFonts w:ascii="Times New Roman" w:hAnsi="Times New Roman" w:cs="Times New Roman"/>
        </w:rPr>
        <w:t xml:space="preserve">My profile as a criminal barrister can be found here: </w:t>
      </w:r>
      <w:hyperlink r:id="rId6" w:history="1">
        <w:r w:rsidRPr="00FE3A9D">
          <w:rPr>
            <w:rStyle w:val="Hyperlink"/>
            <w:rFonts w:ascii="Times New Roman" w:hAnsi="Times New Roman" w:cs="Times New Roman"/>
          </w:rPr>
          <w:t>https://www.stiveschambers.co.uk/barristers/alexander-pritchard-jones/criminal/</w:t>
        </w:r>
      </w:hyperlink>
      <w:r>
        <w:rPr>
          <w:rFonts w:ascii="Times New Roman" w:hAnsi="Times New Roman" w:cs="Times New Roman"/>
        </w:rPr>
        <w:t xml:space="preserve"> </w:t>
      </w:r>
    </w:p>
    <w:p w:rsidR="005F42A6" w:rsidRDefault="005F42A6" w:rsidP="00792E6D">
      <w:pPr>
        <w:rPr>
          <w:rFonts w:ascii="Times New Roman" w:hAnsi="Times New Roman" w:cs="Times New Roman"/>
        </w:rPr>
      </w:pPr>
    </w:p>
    <w:p w:rsidR="00FE4A1F" w:rsidRPr="00832DC7" w:rsidRDefault="00FE4A1F" w:rsidP="00FE4A1F">
      <w:pPr>
        <w:rPr>
          <w:rFonts w:ascii="Times New Roman" w:hAnsi="Times New Roman" w:cs="Times New Roman"/>
          <w:u w:val="single"/>
        </w:rPr>
      </w:pPr>
      <w:r>
        <w:rPr>
          <w:rFonts w:ascii="Times New Roman" w:hAnsi="Times New Roman" w:cs="Times New Roman"/>
          <w:u w:val="single"/>
        </w:rPr>
        <w:t>Title:</w:t>
      </w:r>
    </w:p>
    <w:p w:rsidR="00FE4A1F" w:rsidRDefault="00FE4A1F" w:rsidP="00FE4A1F">
      <w:pPr>
        <w:jc w:val="center"/>
        <w:rPr>
          <w:rFonts w:ascii="Times New Roman" w:hAnsi="Times New Roman" w:cs="Times New Roman"/>
          <w:u w:val="single"/>
        </w:rPr>
      </w:pPr>
      <w:r>
        <w:rPr>
          <w:rFonts w:ascii="Times New Roman" w:hAnsi="Times New Roman" w:cs="Times New Roman"/>
          <w:u w:val="single"/>
        </w:rPr>
        <w:t>Body modification and consent: prejudice in the higher courts?</w:t>
      </w:r>
    </w:p>
    <w:p w:rsidR="00FE4A1F" w:rsidRDefault="00FE4A1F" w:rsidP="00FE4A1F">
      <w:pPr>
        <w:jc w:val="center"/>
        <w:rPr>
          <w:rFonts w:ascii="Times New Roman" w:hAnsi="Times New Roman" w:cs="Times New Roman"/>
          <w:u w:val="single"/>
        </w:rPr>
      </w:pPr>
    </w:p>
    <w:p w:rsidR="00FE4A1F" w:rsidRDefault="00FE4A1F" w:rsidP="00FE4A1F">
      <w:pPr>
        <w:rPr>
          <w:rFonts w:ascii="Times New Roman" w:hAnsi="Times New Roman" w:cs="Times New Roman"/>
          <w:u w:val="single"/>
        </w:rPr>
      </w:pPr>
      <w:r>
        <w:rPr>
          <w:rFonts w:ascii="Times New Roman" w:hAnsi="Times New Roman" w:cs="Times New Roman"/>
          <w:u w:val="single"/>
        </w:rPr>
        <w:t>Keywords:</w:t>
      </w:r>
    </w:p>
    <w:p w:rsidR="00FE4A1F" w:rsidRDefault="00FE4A1F" w:rsidP="00FE4A1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Law; consent; prejudice </w:t>
      </w:r>
    </w:p>
    <w:p w:rsidR="00FE4A1F" w:rsidRDefault="00FE4A1F" w:rsidP="00FE4A1F">
      <w:pPr>
        <w:rPr>
          <w:rFonts w:ascii="Times New Roman" w:hAnsi="Times New Roman" w:cs="Times New Roman"/>
        </w:rPr>
      </w:pPr>
    </w:p>
    <w:p w:rsidR="00FE4A1F" w:rsidRPr="00832DC7" w:rsidRDefault="00FE4A1F" w:rsidP="00FE4A1F">
      <w:pPr>
        <w:rPr>
          <w:rFonts w:ascii="Times New Roman" w:hAnsi="Times New Roman" w:cs="Times New Roman"/>
          <w:u w:val="single"/>
        </w:rPr>
      </w:pPr>
      <w:r>
        <w:rPr>
          <w:rFonts w:ascii="Times New Roman" w:hAnsi="Times New Roman" w:cs="Times New Roman"/>
          <w:u w:val="single"/>
        </w:rPr>
        <w:t>Abstract (492 words):</w:t>
      </w:r>
    </w:p>
    <w:p w:rsidR="00FE4A1F" w:rsidRDefault="00FE4A1F" w:rsidP="00FE4A1F">
      <w:pPr>
        <w:rPr>
          <w:rFonts w:ascii="Times New Roman" w:hAnsi="Times New Roman" w:cs="Times New Roman"/>
        </w:rPr>
      </w:pPr>
    </w:p>
    <w:p w:rsidR="00FE4A1F" w:rsidRDefault="00FE4A1F" w:rsidP="00FE4A1F">
      <w:pPr>
        <w:jc w:val="both"/>
        <w:rPr>
          <w:rFonts w:ascii="Times New Roman" w:hAnsi="Times New Roman" w:cs="Times New Roman"/>
        </w:rPr>
      </w:pPr>
      <w:r>
        <w:rPr>
          <w:rFonts w:ascii="Times New Roman" w:hAnsi="Times New Roman" w:cs="Times New Roman"/>
        </w:rPr>
        <w:t xml:space="preserve">What we can and cannot do, or have done, to our bodies has been addressed by the higher courts in England and Wales in a series of decisions since the 1990s. Actions which have caused similar degrees of modification/injury to a body have been treated separately, depending on the perpetrator and the context. </w:t>
      </w:r>
    </w:p>
    <w:p w:rsidR="00FE4A1F" w:rsidRDefault="00FE4A1F" w:rsidP="00FE4A1F">
      <w:pPr>
        <w:jc w:val="both"/>
        <w:rPr>
          <w:rFonts w:ascii="Times New Roman" w:hAnsi="Times New Roman" w:cs="Times New Roman"/>
        </w:rPr>
      </w:pPr>
    </w:p>
    <w:p w:rsidR="00FE4A1F" w:rsidRDefault="00FE4A1F" w:rsidP="00FE4A1F">
      <w:pPr>
        <w:jc w:val="both"/>
        <w:rPr>
          <w:rFonts w:ascii="Times New Roman" w:hAnsi="Times New Roman" w:cs="Times New Roman"/>
        </w:rPr>
      </w:pPr>
      <w:r>
        <w:rPr>
          <w:rFonts w:ascii="Times New Roman" w:hAnsi="Times New Roman" w:cs="Times New Roman"/>
        </w:rPr>
        <w:t>For example:</w:t>
      </w:r>
    </w:p>
    <w:p w:rsidR="00FE4A1F" w:rsidRDefault="00FE4A1F" w:rsidP="00FE4A1F">
      <w:pPr>
        <w:jc w:val="both"/>
        <w:rPr>
          <w:rFonts w:ascii="Times New Roman" w:hAnsi="Times New Roman" w:cs="Times New Roman"/>
        </w:rPr>
      </w:pPr>
    </w:p>
    <w:p w:rsidR="00FE4A1F" w:rsidRDefault="00FE4A1F" w:rsidP="00FE4A1F">
      <w:pPr>
        <w:pStyle w:val="ListParagraph"/>
        <w:numPr>
          <w:ilvl w:val="0"/>
          <w:numId w:val="2"/>
        </w:numPr>
        <w:jc w:val="both"/>
        <w:rPr>
          <w:rFonts w:ascii="Times New Roman" w:hAnsi="Times New Roman" w:cs="Times New Roman"/>
        </w:rPr>
      </w:pPr>
      <w:r>
        <w:rPr>
          <w:rFonts w:ascii="Times New Roman" w:hAnsi="Times New Roman" w:cs="Times New Roman"/>
        </w:rPr>
        <w:t xml:space="preserve">Gay men engaged in consensual sado-masochist acts, namely putting nailing through their foreskins </w:t>
      </w:r>
      <w:r>
        <w:rPr>
          <w:rFonts w:ascii="Times New Roman" w:hAnsi="Times New Roman" w:cs="Times New Roman"/>
          <w:b/>
        </w:rPr>
        <w:t>R v Brown (A) [1994] 1 A.C. 212, HL</w:t>
      </w:r>
      <w:r>
        <w:rPr>
          <w:rFonts w:ascii="Times New Roman" w:hAnsi="Times New Roman" w:cs="Times New Roman"/>
        </w:rPr>
        <w:t xml:space="preserve">, was deemed illegal; a man with his wife’s consent, branded her with his initials on her buttocks </w:t>
      </w:r>
      <w:r>
        <w:rPr>
          <w:rFonts w:ascii="Times New Roman" w:hAnsi="Times New Roman" w:cs="Times New Roman"/>
          <w:b/>
        </w:rPr>
        <w:t>R v Wilson (A.) [1996] 2 Cr. App.R. 241, CA</w:t>
      </w:r>
      <w:r>
        <w:rPr>
          <w:rFonts w:ascii="Times New Roman" w:hAnsi="Times New Roman" w:cs="Times New Roman"/>
        </w:rPr>
        <w:t xml:space="preserve"> was not deemed illegal. In the latter case, the Court of Appeal decided that it was </w:t>
      </w:r>
      <w:r>
        <w:rPr>
          <w:rFonts w:ascii="Times New Roman" w:hAnsi="Times New Roman" w:cs="Times New Roman"/>
          <w:i/>
        </w:rPr>
        <w:t>not in the public interest</w:t>
      </w:r>
      <w:r>
        <w:rPr>
          <w:rFonts w:ascii="Times New Roman" w:hAnsi="Times New Roman" w:cs="Times New Roman"/>
        </w:rPr>
        <w:t xml:space="preserve"> that such activity be prosecuted. There is no legal reason for a distinction to be made; is innate prejudice the reason for the distinction?</w:t>
      </w:r>
    </w:p>
    <w:p w:rsidR="00FE4A1F" w:rsidRDefault="00FE4A1F" w:rsidP="00FE4A1F">
      <w:pPr>
        <w:pStyle w:val="ListParagraph"/>
        <w:numPr>
          <w:ilvl w:val="0"/>
          <w:numId w:val="2"/>
        </w:numPr>
        <w:jc w:val="both"/>
        <w:rPr>
          <w:rFonts w:ascii="Times New Roman" w:hAnsi="Times New Roman" w:cs="Times New Roman"/>
        </w:rPr>
      </w:pPr>
      <w:r>
        <w:rPr>
          <w:rFonts w:ascii="Times New Roman" w:hAnsi="Times New Roman" w:cs="Times New Roman"/>
        </w:rPr>
        <w:t xml:space="preserve">When it comes to sports that cause serious, sometimes fatal injuries, the higher courts are content to allow the participants significant self-regulation. Behaviour is rarely to be taken as criminal even when it results in death or permanent injury. In </w:t>
      </w:r>
      <w:r>
        <w:rPr>
          <w:rFonts w:ascii="Times New Roman" w:hAnsi="Times New Roman" w:cs="Times New Roman"/>
          <w:b/>
        </w:rPr>
        <w:t xml:space="preserve">R v Barnes [2004] EWCA 3246 </w:t>
      </w:r>
      <w:r>
        <w:rPr>
          <w:rFonts w:ascii="Times New Roman" w:hAnsi="Times New Roman" w:cs="Times New Roman"/>
        </w:rPr>
        <w:t xml:space="preserve">the Court of Appeal emphasised that in highly competitive sports behaviour that was outside the rules and caused injury may well have happened </w:t>
      </w:r>
      <w:r>
        <w:rPr>
          <w:rFonts w:ascii="Times New Roman" w:hAnsi="Times New Roman" w:cs="Times New Roman"/>
          <w:i/>
        </w:rPr>
        <w:t>in the heat of the moment</w:t>
      </w:r>
      <w:r>
        <w:rPr>
          <w:rFonts w:ascii="Times New Roman" w:hAnsi="Times New Roman" w:cs="Times New Roman"/>
        </w:rPr>
        <w:t xml:space="preserve"> and that this prevents it being criminal. Contrast this with the very recent case of </w:t>
      </w:r>
      <w:r>
        <w:rPr>
          <w:rFonts w:ascii="Times New Roman" w:hAnsi="Times New Roman" w:cs="Times New Roman"/>
          <w:b/>
        </w:rPr>
        <w:t xml:space="preserve">R v BM [2018] EWCA Crim 560. </w:t>
      </w:r>
      <w:r>
        <w:rPr>
          <w:rFonts w:ascii="Times New Roman" w:hAnsi="Times New Roman" w:cs="Times New Roman"/>
        </w:rPr>
        <w:t xml:space="preserve">In this case a man had his ear removed, tongue split and nipple removed, all intentionally. His tattooist was </w:t>
      </w:r>
      <w:r>
        <w:rPr>
          <w:rFonts w:ascii="Times New Roman" w:hAnsi="Times New Roman" w:cs="Times New Roman"/>
        </w:rPr>
        <w:lastRenderedPageBreak/>
        <w:t>prosecuted for causing grievous bodily harm, and the Court of Appeal held that this was correct, even though the customer had given considerable thought to the operations that he wanted. Why is there this distinction made?</w:t>
      </w:r>
    </w:p>
    <w:p w:rsidR="00FE4A1F" w:rsidRDefault="00FE4A1F" w:rsidP="00FE4A1F">
      <w:pPr>
        <w:pStyle w:val="ListParagraph"/>
        <w:numPr>
          <w:ilvl w:val="0"/>
          <w:numId w:val="2"/>
        </w:numPr>
        <w:jc w:val="both"/>
        <w:rPr>
          <w:rFonts w:ascii="Times New Roman" w:hAnsi="Times New Roman" w:cs="Times New Roman"/>
        </w:rPr>
      </w:pPr>
      <w:r>
        <w:rPr>
          <w:rFonts w:ascii="Times New Roman" w:hAnsi="Times New Roman" w:cs="Times New Roman"/>
        </w:rPr>
        <w:t>What is the distinction in law between someone piercing their own foreskin, or that of another, and someone receiving the Prince Albert piercing? There is no reported case of a tattooist being prosecuted for performing a Prince Albert. Can it be the purported royal origins of this piercing that mean it gets the courts’ protection?</w:t>
      </w:r>
    </w:p>
    <w:p w:rsidR="00FE4A1F" w:rsidRDefault="00FE4A1F" w:rsidP="00FE4A1F">
      <w:pPr>
        <w:jc w:val="both"/>
        <w:rPr>
          <w:rFonts w:ascii="Times New Roman" w:hAnsi="Times New Roman" w:cs="Times New Roman"/>
        </w:rPr>
      </w:pPr>
    </w:p>
    <w:p w:rsidR="00FE4A1F" w:rsidRDefault="00FE4A1F" w:rsidP="00FE4A1F">
      <w:pPr>
        <w:jc w:val="both"/>
        <w:rPr>
          <w:rFonts w:ascii="Times New Roman" w:hAnsi="Times New Roman" w:cs="Times New Roman"/>
          <w:b/>
        </w:rPr>
      </w:pPr>
      <w:r>
        <w:rPr>
          <w:rFonts w:ascii="Times New Roman" w:hAnsi="Times New Roman" w:cs="Times New Roman"/>
        </w:rPr>
        <w:t xml:space="preserve">The paper, if selected, will show the inconsistencies in the law, as it is applied to the same level of body modification, and point out where these may be considered to be homophobic, or classist. For example, Royal Air Force officers, prosecuted for causing grievous bodily harm, had their convictions overturned as the Court of Appeal considered these merely to be </w:t>
      </w:r>
      <w:r>
        <w:rPr>
          <w:rFonts w:ascii="Times New Roman" w:hAnsi="Times New Roman" w:cs="Times New Roman"/>
          <w:i/>
        </w:rPr>
        <w:t>mess games</w:t>
      </w:r>
      <w:r>
        <w:rPr>
          <w:rFonts w:ascii="Times New Roman" w:hAnsi="Times New Roman" w:cs="Times New Roman"/>
        </w:rPr>
        <w:t xml:space="preserve">; the same cultural understanding was not extended to the man who performed the tongue splitting as mentioned above. </w:t>
      </w:r>
      <w:r>
        <w:rPr>
          <w:rFonts w:ascii="Times New Roman" w:hAnsi="Times New Roman" w:cs="Times New Roman"/>
          <w:b/>
        </w:rPr>
        <w:t>R v Atkin 95, Cr.App.R 304.</w:t>
      </w:r>
    </w:p>
    <w:p w:rsidR="00FE4A1F" w:rsidRDefault="00FE4A1F" w:rsidP="00FE4A1F">
      <w:pPr>
        <w:jc w:val="both"/>
        <w:rPr>
          <w:rFonts w:ascii="Times New Roman" w:hAnsi="Times New Roman" w:cs="Times New Roman"/>
          <w:b/>
        </w:rPr>
      </w:pPr>
    </w:p>
    <w:p w:rsidR="00FE4A1F" w:rsidRPr="00832DC7" w:rsidRDefault="00FE4A1F" w:rsidP="00FE4A1F">
      <w:pPr>
        <w:jc w:val="both"/>
        <w:rPr>
          <w:rFonts w:ascii="Times New Roman" w:hAnsi="Times New Roman" w:cs="Times New Roman"/>
        </w:rPr>
      </w:pPr>
      <w:r>
        <w:rPr>
          <w:rFonts w:ascii="Times New Roman" w:hAnsi="Times New Roman" w:cs="Times New Roman"/>
        </w:rPr>
        <w:t>Further, the paper would apply a critical realist approach to the distinctions, arguing that the higher judges have both the structure of the domestic law and the European Convention of Human Rights to consider, as well as confronting their own prejudices, when determining what body modification they will allow.</w:t>
      </w:r>
    </w:p>
    <w:p w:rsidR="005F42A6" w:rsidRDefault="005F42A6" w:rsidP="00792E6D">
      <w:pPr>
        <w:rPr>
          <w:rFonts w:ascii="Times New Roman" w:hAnsi="Times New Roman" w:cs="Times New Roman"/>
          <w:u w:val="single"/>
        </w:rPr>
      </w:pPr>
    </w:p>
    <w:p w:rsidR="005F42A6" w:rsidRPr="005F42A6" w:rsidRDefault="005F42A6" w:rsidP="00792E6D">
      <w:pPr>
        <w:rPr>
          <w:rFonts w:ascii="Times New Roman" w:hAnsi="Times New Roman" w:cs="Times New Roman"/>
          <w:u w:val="single"/>
        </w:rPr>
      </w:pPr>
    </w:p>
    <w:p w:rsidR="005F42A6" w:rsidRDefault="005F42A6" w:rsidP="00792E6D">
      <w:pPr>
        <w:rPr>
          <w:rFonts w:ascii="Times New Roman" w:hAnsi="Times New Roman" w:cs="Times New Roman"/>
          <w:u w:val="single"/>
        </w:rPr>
      </w:pPr>
    </w:p>
    <w:p w:rsidR="00792E6D" w:rsidRDefault="00792E6D" w:rsidP="00792E6D">
      <w:pPr>
        <w:rPr>
          <w:rFonts w:ascii="Times New Roman" w:hAnsi="Times New Roman" w:cs="Times New Roman"/>
          <w:u w:val="single"/>
        </w:rPr>
      </w:pPr>
    </w:p>
    <w:p w:rsidR="00792E6D" w:rsidRDefault="00792E6D" w:rsidP="00792E6D">
      <w:pPr>
        <w:rPr>
          <w:rFonts w:ascii="Times New Roman" w:hAnsi="Times New Roman" w:cs="Times New Roman"/>
          <w:u w:val="single"/>
        </w:rPr>
      </w:pPr>
    </w:p>
    <w:p w:rsidR="00792E6D" w:rsidRDefault="00792E6D" w:rsidP="00792E6D">
      <w:pPr>
        <w:jc w:val="center"/>
        <w:rPr>
          <w:rFonts w:ascii="Times New Roman" w:hAnsi="Times New Roman" w:cs="Times New Roman"/>
          <w:u w:val="single"/>
        </w:rPr>
      </w:pPr>
    </w:p>
    <w:p w:rsidR="00792E6D" w:rsidRDefault="00792E6D" w:rsidP="00792E6D">
      <w:pPr>
        <w:jc w:val="center"/>
        <w:rPr>
          <w:rFonts w:ascii="Times New Roman" w:hAnsi="Times New Roman" w:cs="Times New Roman"/>
          <w:u w:val="single"/>
        </w:rPr>
      </w:pPr>
    </w:p>
    <w:p w:rsidR="00792E6D" w:rsidRDefault="00792E6D" w:rsidP="00792E6D">
      <w:pPr>
        <w:jc w:val="both"/>
        <w:rPr>
          <w:rFonts w:ascii="Times New Roman" w:hAnsi="Times New Roman" w:cs="Times New Roman"/>
          <w:u w:val="single"/>
        </w:rPr>
      </w:pPr>
    </w:p>
    <w:p w:rsidR="002D1A52" w:rsidRPr="00792E6D" w:rsidRDefault="00792E6D" w:rsidP="00792E6D">
      <w:pPr>
        <w:jc w:val="both"/>
        <w:rPr>
          <w:rFonts w:ascii="Times New Roman" w:hAnsi="Times New Roman" w:cs="Times New Roman"/>
          <w:u w:val="single"/>
        </w:rPr>
      </w:pPr>
      <w:r>
        <w:rPr>
          <w:rFonts w:ascii="Times New Roman" w:hAnsi="Times New Roman" w:cs="Times New Roman"/>
          <w:u w:val="single"/>
        </w:rPr>
        <w:t xml:space="preserve"> </w:t>
      </w:r>
    </w:p>
    <w:sectPr w:rsidR="002D1A52" w:rsidRPr="00792E6D" w:rsidSect="003D67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38EE"/>
    <w:multiLevelType w:val="hybridMultilevel"/>
    <w:tmpl w:val="963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10B01"/>
    <w:multiLevelType w:val="hybridMultilevel"/>
    <w:tmpl w:val="A6DE0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6D"/>
    <w:rsid w:val="00007858"/>
    <w:rsid w:val="00207379"/>
    <w:rsid w:val="003D6723"/>
    <w:rsid w:val="005A4ABA"/>
    <w:rsid w:val="005F42A6"/>
    <w:rsid w:val="00792E6D"/>
    <w:rsid w:val="00A442A5"/>
    <w:rsid w:val="00A63498"/>
    <w:rsid w:val="00D93323"/>
    <w:rsid w:val="00FE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ED6073AF-4C2A-8940-9726-6BFAE066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2A6"/>
    <w:rPr>
      <w:color w:val="0563C1" w:themeColor="hyperlink"/>
      <w:u w:val="single"/>
    </w:rPr>
  </w:style>
  <w:style w:type="character" w:styleId="UnresolvedMention">
    <w:name w:val="Unresolved Mention"/>
    <w:basedOn w:val="DefaultParagraphFont"/>
    <w:uiPriority w:val="99"/>
    <w:rsid w:val="005F42A6"/>
    <w:rPr>
      <w:color w:val="808080"/>
      <w:shd w:val="clear" w:color="auto" w:fill="E6E6E6"/>
    </w:rPr>
  </w:style>
  <w:style w:type="paragraph" w:styleId="ListParagraph">
    <w:name w:val="List Paragraph"/>
    <w:basedOn w:val="Normal"/>
    <w:uiPriority w:val="34"/>
    <w:qFormat/>
    <w:rsid w:val="005F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iveschambers.co.uk/barristers/alexander-pritchard-jones/criminal/" TargetMode="External"/><Relationship Id="rId5" Type="http://schemas.openxmlformats.org/officeDocument/2006/relationships/hyperlink" Target="mailto:avp807@student.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Pritchard-Jones</dc:creator>
  <cp:keywords/>
  <dc:description/>
  <cp:lastModifiedBy>Microsoft Office User</cp:lastModifiedBy>
  <cp:revision>2</cp:revision>
  <dcterms:created xsi:type="dcterms:W3CDTF">2019-02-01T00:37:00Z</dcterms:created>
  <dcterms:modified xsi:type="dcterms:W3CDTF">2019-02-01T00:37:00Z</dcterms:modified>
</cp:coreProperties>
</file>